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7454" w14:textId="77777777" w:rsidR="00533EE8" w:rsidRDefault="00425611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1039BA59" w14:textId="77777777" w:rsidR="00533EE8" w:rsidRDefault="00425611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11AE9751" w14:textId="77777777" w:rsidR="00533EE8" w:rsidRDefault="00425611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71EFADA1" w14:textId="164D5DC5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2703C9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12E4E3F7" w14:textId="77777777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720A328D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0C42316E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626EF32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5572B66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2CCC265F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2EE8D0A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34992462" w14:textId="77777777" w:rsidR="00533EE8" w:rsidRDefault="00425611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7215804A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DE79C08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7959B033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0C997CE" w14:textId="7A46C47E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bookmarkStart w:id="0" w:name="_Hlk189550106"/>
      <w:r>
        <w:rPr>
          <w:rFonts w:ascii="Arial" w:hAnsi="Arial" w:cs="Arial"/>
          <w:b/>
          <w:bCs/>
          <w:color w:val="auto"/>
        </w:rPr>
        <w:t>Materiały na potrzeby organizacji zajęć ze spawania</w:t>
      </w:r>
      <w:bookmarkEnd w:id="0"/>
      <w:r>
        <w:rPr>
          <w:rFonts w:ascii="Arial" w:hAnsi="Arial" w:cs="Arial"/>
          <w:b/>
          <w:bCs/>
          <w:color w:val="auto"/>
        </w:rPr>
        <w:t xml:space="preserve"> w roku szkolnym 2025/2026</w:t>
      </w:r>
      <w:r w:rsidR="00066186">
        <w:rPr>
          <w:rFonts w:ascii="Arial" w:hAnsi="Arial" w:cs="Arial"/>
          <w:b/>
          <w:bCs/>
          <w:color w:val="auto"/>
        </w:rPr>
        <w:t xml:space="preserve"> II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 w:cs="Arial"/>
          <w:b/>
          <w:color w:val="000000"/>
        </w:rPr>
        <w:t>.</w:t>
      </w:r>
    </w:p>
    <w:p w14:paraId="50D1764D" w14:textId="77777777" w:rsidR="00533EE8" w:rsidRDefault="00425611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EB4583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37A91F0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6E1842B5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33C3FA90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007033DE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Zamawiający zleca, a Wykonawca zobowiązuje się do wykonania zadania polegającego na dostawie materiałów na potrzeby organizacji zajęć ze spawania do Zespołu Szkół w Mogilnie oraz Zespołu Szkół w Strzelnie. </w:t>
      </w:r>
    </w:p>
    <w:p w14:paraId="6B827F0C" w14:textId="3113190C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Zamówienie jest podzielone na 2 etapy:</w:t>
      </w:r>
    </w:p>
    <w:p w14:paraId="0850E06E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>a)  Etap I dotyczy dostawy do szkół materiałów spawalniczych wymienionych w pozycjach 1, 2, 4-14 oraz 16-18 załącznika nr 5 do SWZ w terminie określonym przez wykonawcę w ofercie zgodnie z rozdziałem XVII SWZ.</w:t>
      </w:r>
    </w:p>
    <w:p w14:paraId="21BE9EB9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b) Etap II dotyczyć będzie sukcesywnych dostaw gazu określonych w pozycjach nr 3 i 15 załącznika nr 5 do SWZ. </w:t>
      </w:r>
    </w:p>
    <w:p w14:paraId="28DBF2FB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Dostawy będą realizowane w terminie 7 dni od dnia poinformowania wykonawcy o potrzebie ich wykonania. Całość gazów zostanie dostarczona do Zamawiającego w terminie 6 miesięcy od dnia podpisania umowy</w:t>
      </w:r>
      <w:r>
        <w:rPr>
          <w:rFonts w:ascii="Arial" w:hAnsi="Arial" w:cs="Arial"/>
        </w:rPr>
        <w:t>.</w:t>
      </w:r>
    </w:p>
    <w:p w14:paraId="19053D82" w14:textId="77777777" w:rsidR="00533EE8" w:rsidRDefault="00425611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FEKP.08.28-IZ.00-0005/24 pn. „Rozwój kształcenia zawodowego w szkołach Powiatu Mogileńskiego” realizowanego w ramach Programu Fundusze Europejskie dla Kujaw i Pomorza 2021-2027.</w:t>
      </w:r>
    </w:p>
    <w:p w14:paraId="79157226" w14:textId="77777777" w:rsidR="00533EE8" w:rsidRPr="00425611" w:rsidRDefault="00425611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>Szczegółowy zakres przedmiotu zamówienia oraz warunki jego realizacji ustala niniejsza umowa, oferta wykonawcy, opis przedmiotu zamówienia 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2C7D136D" w14:textId="77777777" w:rsidR="00425611" w:rsidRDefault="00425611" w:rsidP="00425611">
      <w:pPr>
        <w:spacing w:line="360" w:lineRule="auto"/>
        <w:ind w:left="284"/>
        <w:rPr>
          <w:rFonts w:hint="eastAsia"/>
        </w:rPr>
      </w:pPr>
    </w:p>
    <w:p w14:paraId="46C91869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2BBA50A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25B60991" w14:textId="77777777" w:rsidR="00533EE8" w:rsidRDefault="00425611">
      <w:pPr>
        <w:pStyle w:val="Standard"/>
        <w:widowControl w:val="0"/>
        <w:numPr>
          <w:ilvl w:val="0"/>
          <w:numId w:val="64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5399B7CC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merytoryczny i formalny nad wykonaniem umowy przez osoby do tego wyznaczone,</w:t>
      </w:r>
    </w:p>
    <w:p w14:paraId="4B2CE8D2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14ECA6B8" w14:textId="77777777" w:rsidR="00533EE8" w:rsidRDefault="00425611">
      <w:pPr>
        <w:pStyle w:val="Standard"/>
        <w:widowControl w:val="0"/>
        <w:numPr>
          <w:ilvl w:val="0"/>
          <w:numId w:val="65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5C49FEF" w14:textId="77777777" w:rsidR="00533EE8" w:rsidRDefault="00425611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73386B6A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zapewnienia we własnym zakresie i na własny koszt transportu zamawianych materiałów wraz z kosztami rozładunku i wniesienia,</w:t>
      </w:r>
    </w:p>
    <w:p w14:paraId="567DA84F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sukcesywnych dostaw gazu wskazanego w Załączniku nr 5 do SWZ – Formularz cenowy, pozycje nr 3 i 15. Dostawy będą realizowane w terminie 7 dni od dnia poinformowania wykonawcy o potrzebie ich wykonania,</w:t>
      </w:r>
    </w:p>
    <w:p w14:paraId="2DAEC0A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realizacji przedmiotu zamówienia przy zastosowaniu materiałów dopuszczonych do obrotu i stosowania posiadających odpowiednie atesty i certyfikaty,</w:t>
      </w:r>
    </w:p>
    <w:p w14:paraId="2420C9D7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zachowania należytej staranności przy wnoszeniu materiałów w celu uniknięcia uszkodzeń wyposażenia budynku,</w:t>
      </w:r>
    </w:p>
    <w:p w14:paraId="18EBFF6B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zapewnienia nadzoru nad bezpieczeństwem i higieną pracy podczas rozładunku,</w:t>
      </w:r>
    </w:p>
    <w:p w14:paraId="30B27C3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usunięcia wszelkich zbędnych odpadów i śmieci oraz uporządkowania terenu dostawy,</w:t>
      </w:r>
    </w:p>
    <w:p w14:paraId="4A535937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Zamawiającego: </w:t>
      </w:r>
    </w:p>
    <w:p w14:paraId="7A925EA8" w14:textId="77777777" w:rsidR="00533EE8" w:rsidRDefault="00425611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Zespół Szkół w Strzelnie …………………..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……………. mail: ………………….. </w:t>
      </w:r>
    </w:p>
    <w:p w14:paraId="5C463E67" w14:textId="77777777" w:rsidR="00533EE8" w:rsidRDefault="00425611">
      <w:pPr>
        <w:pStyle w:val="Akapitzlist"/>
        <w:spacing w:line="360" w:lineRule="auto"/>
        <w:ind w:left="928" w:hanging="21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Zespół Szkół w Mogilnie…………………..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…………… mail:…………………….</w:t>
      </w:r>
    </w:p>
    <w:p w14:paraId="0DD4DA80" w14:textId="77777777" w:rsidR="00533EE8" w:rsidRDefault="0042561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firstLine="709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 2 dni roboczych przed planowaną dostawą,</w:t>
      </w:r>
    </w:p>
    <w:p w14:paraId="39CF1540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586F0D4B" w14:textId="77777777" w:rsidR="00533EE8" w:rsidRDefault="00533EE8">
      <w:pPr>
        <w:pStyle w:val="Akapitzlist"/>
        <w:widowControl w:val="0"/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</w:p>
    <w:p w14:paraId="375DD64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25F342E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005B8114" w14:textId="77777777" w:rsidR="00533EE8" w:rsidRDefault="00425611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51737CDC" w14:textId="77777777" w:rsidR="00533EE8" w:rsidRDefault="00425611">
      <w:pPr>
        <w:pStyle w:val="Standard"/>
        <w:widowControl w:val="0"/>
        <w:numPr>
          <w:ilvl w:val="0"/>
          <w:numId w:val="6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5689DE49" w14:textId="77777777" w:rsidR="00533EE8" w:rsidRDefault="00425611">
      <w:pPr>
        <w:pStyle w:val="Standard"/>
        <w:widowControl w:val="0"/>
        <w:numPr>
          <w:ilvl w:val="0"/>
          <w:numId w:val="6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022180FF" w14:textId="77777777" w:rsidR="00533EE8" w:rsidRDefault="00425611">
      <w:pPr>
        <w:pStyle w:val="Standard"/>
        <w:widowControl w:val="0"/>
        <w:numPr>
          <w:ilvl w:val="0"/>
          <w:numId w:val="68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jest odpowiedzialny za działania, uchybienia i zaniedbania </w:t>
      </w:r>
      <w:r>
        <w:rPr>
          <w:rFonts w:ascii="Arial" w:hAnsi="Arial"/>
          <w:color w:val="000000"/>
        </w:rPr>
        <w:lastRenderedPageBreak/>
        <w:t>Podwykonawców w takim samym stopniu, jakby to były jego własne.</w:t>
      </w:r>
      <w:bookmarkStart w:id="1" w:name="par4"/>
    </w:p>
    <w:p w14:paraId="73BD84D6" w14:textId="77777777" w:rsidR="00533EE8" w:rsidRDefault="00425611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2" w:name="_Hlt46987251"/>
      <w:r>
        <w:rPr>
          <w:rFonts w:ascii="Arial" w:hAnsi="Arial"/>
          <w:b/>
          <w:color w:val="auto"/>
        </w:rPr>
        <w:t xml:space="preserve"> </w:t>
      </w:r>
      <w:bookmarkEnd w:id="2"/>
      <w:r>
        <w:rPr>
          <w:rFonts w:ascii="Arial" w:hAnsi="Arial"/>
          <w:b/>
          <w:color w:val="auto"/>
        </w:rPr>
        <w:t>4</w:t>
      </w:r>
      <w:bookmarkEnd w:id="1"/>
    </w:p>
    <w:p w14:paraId="489DF16A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6E434A18" w14:textId="77777777" w:rsidR="00533EE8" w:rsidRDefault="00425611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umowy: </w:t>
      </w:r>
    </w:p>
    <w:p w14:paraId="267E6BB6" w14:textId="77777777" w:rsidR="00533EE8" w:rsidRDefault="00425611">
      <w:pPr>
        <w:pStyle w:val="NormalnyWeb"/>
        <w:numPr>
          <w:ilvl w:val="0"/>
          <w:numId w:val="60"/>
        </w:numPr>
        <w:spacing w:before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I: zgodnie z zaoferowanym w ofercie terminem (28-42 dni od dnia podpisania umowy).</w:t>
      </w:r>
    </w:p>
    <w:p w14:paraId="5AF6FBA8" w14:textId="77777777" w:rsidR="00533EE8" w:rsidRDefault="00425611">
      <w:pPr>
        <w:pStyle w:val="NormalnyWeb"/>
        <w:numPr>
          <w:ilvl w:val="0"/>
          <w:numId w:val="60"/>
        </w:numPr>
        <w:spacing w:after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II: 6 miesięcy od dnia podpisania umowy.</w:t>
      </w:r>
    </w:p>
    <w:p w14:paraId="5021545E" w14:textId="77777777" w:rsidR="00533EE8" w:rsidRDefault="00425611">
      <w:pPr>
        <w:pStyle w:val="Default"/>
        <w:numPr>
          <w:ilvl w:val="3"/>
          <w:numId w:val="59"/>
        </w:numPr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bCs/>
          <w:color w:val="auto"/>
        </w:rPr>
        <w:t>Za termin wykonania umowy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całości materiałów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29AE690D" w14:textId="77777777" w:rsidR="00533EE8" w:rsidRDefault="00533EE8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2300D577" w14:textId="77777777" w:rsidR="00533EE8" w:rsidRDefault="00425611">
      <w:pPr>
        <w:pStyle w:val="Standard"/>
        <w:widowControl w:val="0"/>
        <w:spacing w:line="360" w:lineRule="auto"/>
        <w:ind w:left="284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720A037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053469F1" w14:textId="77777777" w:rsidR="00533EE8" w:rsidRDefault="00425611">
      <w:pPr>
        <w:pStyle w:val="Standard"/>
        <w:widowControl w:val="0"/>
        <w:numPr>
          <w:ilvl w:val="0"/>
          <w:numId w:val="6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46D0F786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Netto: …….........................…złotych</w:t>
      </w:r>
    </w:p>
    <w:p w14:paraId="59B4B9A1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VAT: ………………… złotych</w:t>
      </w:r>
    </w:p>
    <w:p w14:paraId="05422930" w14:textId="77777777" w:rsidR="00533EE8" w:rsidRDefault="00425611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Brutto: ………………………………złotych</w:t>
      </w:r>
    </w:p>
    <w:p w14:paraId="5632C5C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 …….......................................................................................złotych …. /100)</w:t>
      </w:r>
    </w:p>
    <w:p w14:paraId="74DACECA" w14:textId="77777777" w:rsidR="00533EE8" w:rsidRDefault="00425611">
      <w:pPr>
        <w:pStyle w:val="Standard"/>
        <w:widowControl w:val="0"/>
        <w:numPr>
          <w:ilvl w:val="0"/>
          <w:numId w:val="70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093C179E" w14:textId="77777777" w:rsidR="00533EE8" w:rsidRDefault="00425611">
      <w:pPr>
        <w:pStyle w:val="Standard"/>
        <w:widowControl w:val="0"/>
        <w:numPr>
          <w:ilvl w:val="0"/>
          <w:numId w:val="71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6162C22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4BFC72F" w14:textId="77777777" w:rsidR="00533EE8" w:rsidRDefault="00425611">
      <w:pPr>
        <w:pStyle w:val="Akapitzlist"/>
        <w:numPr>
          <w:ilvl w:val="0"/>
          <w:numId w:val="72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odbioru.</w:t>
      </w:r>
    </w:p>
    <w:p w14:paraId="6C492E90" w14:textId="77777777" w:rsidR="00533EE8" w:rsidRDefault="00425611">
      <w:pPr>
        <w:pStyle w:val="Akapitzlist"/>
        <w:numPr>
          <w:ilvl w:val="0"/>
          <w:numId w:val="7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lastRenderedPageBreak/>
        <w:t>Zamawiający dopuszcza wystawianie FV częściowych, z zastrzeżeniem, że faktury będą wystawiane nie częściej niż raz w miesiącu. Faktury wystawiane będą po złożeniu Zamawiającemu i zaakceptowaniu przez niego prawidłowo wypełnionych dokumentów potwierdzających realizację części przedmiotu umowy w terminie nie dłuższym niż 7 dni roboczych.</w:t>
      </w:r>
    </w:p>
    <w:p w14:paraId="4E8C3802" w14:textId="77777777" w:rsidR="00533EE8" w:rsidRDefault="00425611">
      <w:pPr>
        <w:pStyle w:val="Standard"/>
        <w:widowControl w:val="0"/>
        <w:numPr>
          <w:ilvl w:val="0"/>
          <w:numId w:val="7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dostawę Zamawiający dokona przelewem na rachunek bankowy Wykonawcy, w terminie do 14 dni od daty prawidłowo wystawionej i dostarczonej faktury.</w:t>
      </w:r>
    </w:p>
    <w:p w14:paraId="744D7B91" w14:textId="77777777" w:rsidR="00533EE8" w:rsidRDefault="00425611">
      <w:pPr>
        <w:pStyle w:val="Standard"/>
        <w:widowControl w:val="0"/>
        <w:numPr>
          <w:ilvl w:val="0"/>
          <w:numId w:val="7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B8A5785" w14:textId="77777777" w:rsidR="00533EE8" w:rsidRDefault="00425611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 4 ust. 4 ustawy z dnia 9 listopada 2018 r. o elektronicznym fakturowaniu w zamówieniach publicznych, koncesjach na roboty budowlane lub usługi oraz partnerstwie publiczno-prywatnym (t.j. Dz. U. z 2020 r. poz. 1666 z późn. zm.).</w:t>
      </w:r>
    </w:p>
    <w:p w14:paraId="654C6E3E" w14:textId="77777777" w:rsidR="00533EE8" w:rsidRDefault="00425611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402E3410" w14:textId="77777777" w:rsidR="00533EE8" w:rsidRDefault="00425611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2025 r. poz. 775 z późn. zm.) (jeżeli dotyczy).</w:t>
      </w:r>
    </w:p>
    <w:p w14:paraId="47902719" w14:textId="77777777" w:rsidR="00533EE8" w:rsidRDefault="00425611">
      <w:pPr>
        <w:pStyle w:val="Standard"/>
        <w:widowControl w:val="0"/>
        <w:numPr>
          <w:ilvl w:val="0"/>
          <w:numId w:val="7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 xml:space="preserve">złożonych w dniu </w:t>
      </w:r>
      <w:r>
        <w:rPr>
          <w:rFonts w:ascii="Arial" w:hAnsi="Arial"/>
          <w:b/>
          <w:color w:val="000000"/>
        </w:rPr>
        <w:lastRenderedPageBreak/>
        <w:t>wystawiania faktury przez Wykonawcę.</w:t>
      </w:r>
    </w:p>
    <w:p w14:paraId="0038C965" w14:textId="77777777" w:rsidR="00533EE8" w:rsidRDefault="00425611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oświadczenia, 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302D65E3" w14:textId="7A9178BD" w:rsidR="001E648B" w:rsidRDefault="001E648B" w:rsidP="001E648B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textAlignment w:val="auto"/>
        <w:rPr>
          <w:rFonts w:ascii="Arial" w:hAnsi="Arial"/>
          <w:color w:val="000000"/>
        </w:rPr>
      </w:pPr>
      <w:r>
        <w:rPr>
          <w:rFonts w:ascii="Arial" w:eastAsia="Arial Unicode MS" w:hAnsi="Arial" w:cs="Arial"/>
          <w:color w:val="auto"/>
        </w:rPr>
        <w:t>Od dnia</w:t>
      </w:r>
      <w:r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>. Szczegółowe zapisy zostaną wprowadzone aneksem do umowy.</w:t>
      </w:r>
    </w:p>
    <w:p w14:paraId="45437A8F" w14:textId="77777777" w:rsidR="00533EE8" w:rsidRDefault="00425611">
      <w:pPr>
        <w:pStyle w:val="Standard"/>
        <w:widowControl w:val="0"/>
        <w:numPr>
          <w:ilvl w:val="0"/>
          <w:numId w:val="8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</w:t>
      </w:r>
      <w:r>
        <w:rPr>
          <w:rFonts w:ascii="Arial" w:hAnsi="Arial"/>
          <w:color w:val="000000"/>
        </w:rPr>
        <w:lastRenderedPageBreak/>
        <w:t xml:space="preserve">postanowienia w umowach.  </w:t>
      </w:r>
    </w:p>
    <w:p w14:paraId="48C1A5C7" w14:textId="77777777" w:rsidR="00533EE8" w:rsidRDefault="00425611">
      <w:pPr>
        <w:pStyle w:val="Standard"/>
        <w:numPr>
          <w:ilvl w:val="0"/>
          <w:numId w:val="83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4801975D" w14:textId="77777777" w:rsidR="00533EE8" w:rsidRDefault="00425611">
      <w:pPr>
        <w:pStyle w:val="Standard"/>
        <w:numPr>
          <w:ilvl w:val="0"/>
          <w:numId w:val="8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00189CFC" w14:textId="77777777" w:rsidR="00533EE8" w:rsidRDefault="00425611">
      <w:pPr>
        <w:pStyle w:val="Standard"/>
        <w:numPr>
          <w:ilvl w:val="0"/>
          <w:numId w:val="8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16, przyjmuję się datę uznania na rachunku Podwykonawcy.</w:t>
      </w:r>
    </w:p>
    <w:p w14:paraId="4B4B2CFD" w14:textId="77777777" w:rsidR="00533EE8" w:rsidRDefault="00425611">
      <w:pPr>
        <w:pStyle w:val="Standard"/>
        <w:numPr>
          <w:ilvl w:val="0"/>
          <w:numId w:val="8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E09BDA8" w14:textId="77777777" w:rsidR="00533EE8" w:rsidRDefault="00533EE8">
      <w:pPr>
        <w:pStyle w:val="Standard"/>
        <w:tabs>
          <w:tab w:val="left" w:pos="284"/>
          <w:tab w:val="left" w:pos="710"/>
        </w:tabs>
        <w:spacing w:line="360" w:lineRule="auto"/>
        <w:ind w:left="284"/>
        <w:jc w:val="left"/>
        <w:rPr>
          <w:rFonts w:ascii="Arial" w:hAnsi="Arial" w:cs="Arial"/>
        </w:rPr>
      </w:pPr>
    </w:p>
    <w:p w14:paraId="76BD8BAD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60A46E25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F227CDA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Materiały zostaną dostarczone do Zespołu Szkół w Strzelnie oraz Zespołu Szkół </w:t>
      </w:r>
      <w:r>
        <w:rPr>
          <w:rFonts w:ascii="Arial" w:hAnsi="Arial" w:cs="Arial"/>
        </w:rPr>
        <w:br/>
        <w:t>w Mogilnie w ilościach zgodnych z Załącznikiem nr 5 do SWZ – OPZ.</w:t>
      </w:r>
    </w:p>
    <w:p w14:paraId="091C70E5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2323AF6D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odbioru. </w:t>
      </w:r>
    </w:p>
    <w:p w14:paraId="2B0D9ED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4493B1CA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71186CBE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5110B77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095B7FF1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Zmiana osób, o których mowa w ust. 4 i 5, wymaga zawiadomienia w formie pisem</w:t>
      </w:r>
      <w:r>
        <w:rPr>
          <w:rFonts w:ascii="Arial" w:hAnsi="Arial" w:cs="Arial"/>
        </w:rPr>
        <w:lastRenderedPageBreak/>
        <w:t xml:space="preserve">nej, nie powodując konieczności zmiany treści umowy. Konsekwencje uchybienia powyższemu obowiązkowi obciążają stronę, która nie dopełniła formalności w tym zakresie. </w:t>
      </w:r>
    </w:p>
    <w:p w14:paraId="1647F202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3" w:name="_Hlk208999129"/>
      <w:bookmarkEnd w:id="3"/>
    </w:p>
    <w:p w14:paraId="611BE5B4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6482653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18F30244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3DAAA273" w14:textId="77777777" w:rsidR="00533EE8" w:rsidRDefault="00425611">
      <w:pPr>
        <w:pStyle w:val="Standard"/>
        <w:widowControl w:val="0"/>
        <w:numPr>
          <w:ilvl w:val="0"/>
          <w:numId w:val="8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5626F503" w14:textId="77777777" w:rsidR="00533EE8" w:rsidRDefault="00425611">
      <w:pPr>
        <w:pStyle w:val="Standard"/>
        <w:widowControl w:val="0"/>
        <w:numPr>
          <w:ilvl w:val="0"/>
          <w:numId w:val="8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4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4"/>
    </w:p>
    <w:p w14:paraId="2F9248C3" w14:textId="77777777" w:rsidR="00533EE8" w:rsidRDefault="00425611">
      <w:pPr>
        <w:pStyle w:val="Standard"/>
        <w:widowControl w:val="0"/>
        <w:numPr>
          <w:ilvl w:val="0"/>
          <w:numId w:val="8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19FE1E0F" w14:textId="77777777" w:rsidR="00533EE8" w:rsidRDefault="00425611">
      <w:pPr>
        <w:pStyle w:val="Standard"/>
        <w:widowControl w:val="0"/>
        <w:numPr>
          <w:ilvl w:val="0"/>
          <w:numId w:val="9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podwykonawcą.</w:t>
      </w:r>
    </w:p>
    <w:p w14:paraId="44D3E849" w14:textId="77777777" w:rsidR="00533EE8" w:rsidRDefault="00425611">
      <w:pPr>
        <w:pStyle w:val="Standard"/>
        <w:widowControl w:val="0"/>
        <w:numPr>
          <w:ilvl w:val="0"/>
          <w:numId w:val="9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0831343" w14:textId="77777777" w:rsidR="00533EE8" w:rsidRDefault="00425611">
      <w:pPr>
        <w:pStyle w:val="Standard"/>
        <w:widowControl w:val="0"/>
        <w:numPr>
          <w:ilvl w:val="0"/>
          <w:numId w:val="9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 5 ust. 1 umowy.</w:t>
      </w:r>
    </w:p>
    <w:p w14:paraId="0F86A38C" w14:textId="77777777" w:rsidR="00533EE8" w:rsidRDefault="00425611">
      <w:pPr>
        <w:pStyle w:val="Standard"/>
        <w:widowControl w:val="0"/>
        <w:numPr>
          <w:ilvl w:val="0"/>
          <w:numId w:val="9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3B3CD9CC" w14:textId="77777777" w:rsidR="00533EE8" w:rsidRDefault="00425611">
      <w:pPr>
        <w:pStyle w:val="Akapitzlist"/>
        <w:numPr>
          <w:ilvl w:val="0"/>
          <w:numId w:val="9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W przypadku nieusunięcia wad lub wymiany przedmiotu umowy na wolny od wad w wyznaczonym terminie, Zamawiający może powierzyć usunięcie wad osobie trzeciej na koszt Wykonawcy.  </w:t>
      </w:r>
    </w:p>
    <w:p w14:paraId="287C39D5" w14:textId="77777777" w:rsidR="00533EE8" w:rsidRDefault="00533EE8">
      <w:pPr>
        <w:pStyle w:val="Akapitzlist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0C3683C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2382A70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664F9515" w14:textId="77777777" w:rsidR="00533EE8" w:rsidRDefault="00425611">
      <w:pPr>
        <w:pStyle w:val="Standard"/>
        <w:widowControl w:val="0"/>
        <w:numPr>
          <w:ilvl w:val="0"/>
          <w:numId w:val="9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16172E08" w14:textId="77777777" w:rsidR="00533EE8" w:rsidRDefault="00425611">
      <w:pPr>
        <w:pStyle w:val="Standard"/>
        <w:widowControl w:val="0"/>
        <w:numPr>
          <w:ilvl w:val="0"/>
          <w:numId w:val="9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124DB5DC" w14:textId="77777777" w:rsidR="00533EE8" w:rsidRDefault="00425611">
      <w:pPr>
        <w:pStyle w:val="Standard"/>
        <w:widowControl w:val="0"/>
        <w:numPr>
          <w:ilvl w:val="0"/>
          <w:numId w:val="9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4A46814D" w14:textId="77777777" w:rsidR="00533EE8" w:rsidRDefault="00425611">
      <w:pPr>
        <w:pStyle w:val="Standard"/>
        <w:numPr>
          <w:ilvl w:val="0"/>
          <w:numId w:val="9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(t.j. Dz. U. z 2025 r. poz. 112).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0DDB52A6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31FE5E75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067A722B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9</w:t>
      </w:r>
    </w:p>
    <w:p w14:paraId="227A8FEC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52F02255" w14:textId="77777777" w:rsidR="00533EE8" w:rsidRDefault="00425611">
      <w:pPr>
        <w:pStyle w:val="Standard"/>
        <w:widowControl w:val="0"/>
        <w:numPr>
          <w:ilvl w:val="0"/>
          <w:numId w:val="9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161E94C" w14:textId="77777777" w:rsidR="00533EE8" w:rsidRDefault="00425611">
      <w:pPr>
        <w:pStyle w:val="Standard"/>
        <w:widowControl w:val="0"/>
        <w:numPr>
          <w:ilvl w:val="0"/>
          <w:numId w:val="10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04400153" w14:textId="77777777" w:rsidR="00533EE8" w:rsidRDefault="00425611">
      <w:pPr>
        <w:pStyle w:val="Standard"/>
        <w:widowControl w:val="0"/>
        <w:numPr>
          <w:ilvl w:val="0"/>
          <w:numId w:val="10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267F722B" w14:textId="77777777" w:rsidR="00533EE8" w:rsidRDefault="00425611">
      <w:pPr>
        <w:pStyle w:val="Standard"/>
        <w:widowControl w:val="0"/>
        <w:numPr>
          <w:ilvl w:val="0"/>
          <w:numId w:val="10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024BAB20" w14:textId="77777777" w:rsidR="00533EE8" w:rsidRDefault="00425611">
      <w:pPr>
        <w:pStyle w:val="Standard"/>
        <w:widowControl w:val="0"/>
        <w:numPr>
          <w:ilvl w:val="0"/>
          <w:numId w:val="10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BF09363" w14:textId="77777777" w:rsidR="00533EE8" w:rsidRDefault="00425611">
      <w:pPr>
        <w:pStyle w:val="Standard"/>
        <w:widowControl w:val="0"/>
        <w:numPr>
          <w:ilvl w:val="0"/>
          <w:numId w:val="10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47530F9D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88AD1ED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60A44D6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1A3A869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24A39B4" w14:textId="77777777" w:rsidR="00533EE8" w:rsidRDefault="00425611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049488FC" w14:textId="77777777" w:rsidR="00533EE8" w:rsidRDefault="00425611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57CFD0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 egzekucyjnym, (każde kolejne zajęcie stanowi niezależną przesłankę odstąpienia),</w:t>
      </w:r>
    </w:p>
    <w:p w14:paraId="30CC351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>
        <w:rPr>
          <w:rFonts w:ascii="Arial" w:hAnsi="Arial"/>
        </w:rPr>
        <w:t xml:space="preserve">piśmie w wyznaczonym terminie. </w:t>
      </w:r>
    </w:p>
    <w:p w14:paraId="251E1EC8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</w:rPr>
        <w:t>Wykonawca przerwał realizację dostaw bez uzasadnienia i pomimo wezwania Zamawiającego złożonego na piśmie nie przystąpił do wykonania umowy w wyznaczonym terminie.</w:t>
      </w:r>
    </w:p>
    <w:p w14:paraId="0F8FAD8F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160204B1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667AC78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0F46507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178A3383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2BE6DE3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pozostałych przypadkach przewidzianych w art. 456 ustawy z dnia 11 września </w:t>
      </w:r>
      <w:r>
        <w:rPr>
          <w:rFonts w:ascii="Arial" w:hAnsi="Arial"/>
          <w:color w:val="000000"/>
        </w:rPr>
        <w:lastRenderedPageBreak/>
        <w:t>2019 roku Prawo zamówień publicznych.</w:t>
      </w:r>
    </w:p>
    <w:p w14:paraId="52E8A619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238E20D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1B44E5D1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3D313547" w14:textId="77777777" w:rsidR="00533EE8" w:rsidRDefault="00425611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sytuacji niewykonania przedmiotu umowy po wcześniejszym wezwaniu Zamawiającego w wyznaczonym terminie.</w:t>
      </w:r>
    </w:p>
    <w:p w14:paraId="23D5C108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5A5B1A62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74101091" w14:textId="77777777" w:rsidR="00533EE8" w:rsidRDefault="00425611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27588B41" w14:textId="77777777" w:rsidR="00533EE8" w:rsidRDefault="0042561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0AE30AC4" w14:textId="77777777" w:rsidR="00533EE8" w:rsidRDefault="00425611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4320C5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SWZ,</w:t>
      </w:r>
    </w:p>
    <w:p w14:paraId="5B584B02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zakresie terminów realizacji przedmiotu zamówienia, jeśli wynikać to będzie z okoliczności o charakterze obiektywnym, których nie można było przewidzieć w chwili składania oferty w szczególności zmiana przepisów prawa mająca wpływ na zakres lub sposób realizacji przedmiotu zamówienia,</w:t>
      </w:r>
    </w:p>
    <w:p w14:paraId="65426C3B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konieczność wprowadzenia zmian będzie następstwem zmian wprowadzonych w umowach pomiędzy Zamawiającym a inną niż Wykonawca stroną, w tym instytucjami nadzorującymi realizację projektu, w ramach którego realizowane jest zamówienie,</w:t>
      </w:r>
    </w:p>
    <w:p w14:paraId="403F11D7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wynikną rozbieżności lub niejasności w umowie, których nie można usunąć w inny sposób a zmiana będzie umożliwiać usunięcie rozbieżności i doprecyzowanie umowy w celu jednoznacznej interpretacji zapisów przez strony,</w:t>
      </w:r>
    </w:p>
    <w:p w14:paraId="4E9C28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57DD617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</w:tabs>
        <w:spacing w:line="360" w:lineRule="auto"/>
        <w:ind w:left="851" w:hanging="284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wprowadzeniem zmian przez ustawodawcę w zakresie obowiązujących przepisów w szczególności zmiany podatku od usług i towarów,</w:t>
      </w:r>
    </w:p>
    <w:p w14:paraId="62F170E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  <w:tab w:val="center" w:pos="4536"/>
          <w:tab w:val="right" w:pos="9072"/>
        </w:tabs>
        <w:spacing w:line="360" w:lineRule="auto"/>
        <w:ind w:left="851" w:hanging="284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6385BAEA" w14:textId="77777777" w:rsidR="00533EE8" w:rsidRDefault="00425611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C609128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3FAD5F75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7933E09F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563D1AC9" w14:textId="77777777" w:rsidR="00533EE8" w:rsidRDefault="00425611">
      <w:pPr>
        <w:pStyle w:val="Tekstpodstawowy"/>
        <w:numPr>
          <w:ilvl w:val="0"/>
          <w:numId w:val="14"/>
        </w:numPr>
        <w:spacing w:after="0"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013987EF" w14:textId="77777777" w:rsidR="00533EE8" w:rsidRDefault="00533EE8">
      <w:pPr>
        <w:pStyle w:val="Tekstpodstawowy"/>
        <w:spacing w:after="0" w:line="360" w:lineRule="auto"/>
        <w:ind w:left="426"/>
        <w:jc w:val="left"/>
        <w:rPr>
          <w:rFonts w:ascii="Arial" w:hAnsi="Arial"/>
          <w:color w:val="000000"/>
        </w:rPr>
      </w:pPr>
    </w:p>
    <w:p w14:paraId="1720996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58AA5D2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1AC5CC13" w14:textId="77777777" w:rsidR="00533EE8" w:rsidRDefault="00425611">
      <w:pPr>
        <w:pStyle w:val="Standard"/>
        <w:widowControl w:val="0"/>
        <w:numPr>
          <w:ilvl w:val="0"/>
          <w:numId w:val="10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3132B797" w14:textId="77777777" w:rsidR="00533EE8" w:rsidRDefault="00425611">
      <w:pPr>
        <w:pStyle w:val="Standard"/>
        <w:widowControl w:val="0"/>
        <w:numPr>
          <w:ilvl w:val="0"/>
          <w:numId w:val="10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</w:t>
      </w:r>
      <w:r>
        <w:rPr>
          <w:rFonts w:ascii="Arial" w:hAnsi="Arial"/>
          <w:color w:val="000000"/>
        </w:rPr>
        <w:lastRenderedPageBreak/>
        <w:t xml:space="preserve">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1B9E8A9" w14:textId="77777777" w:rsidR="00533EE8" w:rsidRDefault="00425611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541F55D6" w14:textId="77777777" w:rsidR="00533EE8" w:rsidRDefault="00425611">
      <w:pPr>
        <w:pStyle w:val="Standard"/>
        <w:widowControl w:val="0"/>
        <w:numPr>
          <w:ilvl w:val="0"/>
          <w:numId w:val="10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512CE6A8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299ABCC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C60991D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…………………………………………………………..…..</w:t>
      </w:r>
    </w:p>
    <w:p w14:paraId="40DEA582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38803A01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2A3E00AC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27AC84D4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2070714A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14B6E72C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47CF3ACE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………………………………………………………..</w:t>
      </w:r>
    </w:p>
    <w:p w14:paraId="740FD709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1EB96B2F" w14:textId="77777777" w:rsidR="00533EE8" w:rsidRDefault="00425611">
      <w:pPr>
        <w:pStyle w:val="Standard"/>
        <w:widowControl w:val="0"/>
        <w:numPr>
          <w:ilvl w:val="0"/>
          <w:numId w:val="10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4A51A7BD" w14:textId="77777777" w:rsidR="00533EE8" w:rsidRDefault="00425611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399CEA4F" w14:textId="77777777" w:rsidR="00533EE8" w:rsidRDefault="00425611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53D59AB6" w14:textId="77777777" w:rsidR="00533EE8" w:rsidRDefault="00425611">
      <w:pPr>
        <w:pStyle w:val="Standard"/>
        <w:widowControl w:val="0"/>
        <w:numPr>
          <w:ilvl w:val="0"/>
          <w:numId w:val="10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</w:t>
      </w:r>
      <w:r>
        <w:rPr>
          <w:rFonts w:ascii="Arial" w:hAnsi="Arial"/>
          <w:color w:val="000000"/>
        </w:rPr>
        <w:lastRenderedPageBreak/>
        <w:t>właściwy dla Zamawiającego.</w:t>
      </w:r>
    </w:p>
    <w:p w14:paraId="449D12EE" w14:textId="77777777" w:rsidR="00533EE8" w:rsidRDefault="00425611">
      <w:pPr>
        <w:pStyle w:val="Standard"/>
        <w:widowControl w:val="0"/>
        <w:numPr>
          <w:ilvl w:val="0"/>
          <w:numId w:val="11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58EC13FE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73C7E7D0" w14:textId="77777777" w:rsidR="00533EE8" w:rsidRDefault="00425611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533EE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4A3F" w14:textId="77777777" w:rsidR="00425611" w:rsidRDefault="00425611">
      <w:pPr>
        <w:rPr>
          <w:rFonts w:hint="eastAsia"/>
        </w:rPr>
      </w:pPr>
      <w:r>
        <w:separator/>
      </w:r>
    </w:p>
  </w:endnote>
  <w:endnote w:type="continuationSeparator" w:id="0">
    <w:p w14:paraId="5E465C6E" w14:textId="77777777" w:rsidR="00425611" w:rsidRDefault="004256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B33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E179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47A96" w14:textId="77777777" w:rsidR="00425611" w:rsidRDefault="00425611">
      <w:pPr>
        <w:rPr>
          <w:rFonts w:hint="eastAsia"/>
        </w:rPr>
      </w:pPr>
      <w:r>
        <w:separator/>
      </w:r>
    </w:p>
  </w:footnote>
  <w:footnote w:type="continuationSeparator" w:id="0">
    <w:p w14:paraId="3C5E0512" w14:textId="77777777" w:rsidR="00425611" w:rsidRDefault="0042561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EF0A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9BB5E19" wp14:editId="3415C704">
          <wp:extent cx="5759450" cy="532765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2A1A7D" w14:textId="6D9146C1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8275B1">
      <w:rPr>
        <w:lang w:val="en-US"/>
      </w:rPr>
      <w:t>5</w:t>
    </w:r>
    <w:r>
      <w:rPr>
        <w:lang w:val="en-US"/>
      </w:rPr>
      <w:t>.202</w:t>
    </w:r>
    <w:r w:rsidR="002703C9">
      <w:rPr>
        <w:lang w:val="en-US"/>
      </w:rPr>
      <w:t>6</w:t>
    </w:r>
  </w:p>
  <w:p w14:paraId="71470EAA" w14:textId="77777777" w:rsidR="00533EE8" w:rsidRDefault="00533EE8">
    <w:pPr>
      <w:pStyle w:val="Nagwek"/>
      <w:jc w:val="right"/>
    </w:pPr>
  </w:p>
  <w:p w14:paraId="4E0A871E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6A7F3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280A770" wp14:editId="5CA45C5C">
          <wp:extent cx="5759450" cy="532765"/>
          <wp:effectExtent l="0" t="0" r="0" b="0"/>
          <wp:doc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15F1D0" w14:textId="77777777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OR.272.70.2025</w:t>
    </w:r>
  </w:p>
  <w:p w14:paraId="52EA9EEA" w14:textId="77777777" w:rsidR="00533EE8" w:rsidRDefault="00533EE8">
    <w:pPr>
      <w:pStyle w:val="Nagwek"/>
      <w:jc w:val="right"/>
    </w:pPr>
  </w:p>
  <w:p w14:paraId="0DDF557F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2038"/>
    <w:multiLevelType w:val="multilevel"/>
    <w:tmpl w:val="6EBCC5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0F7338"/>
    <w:multiLevelType w:val="multilevel"/>
    <w:tmpl w:val="E55C9E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7057252"/>
    <w:multiLevelType w:val="multilevel"/>
    <w:tmpl w:val="0394B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C222F38"/>
    <w:multiLevelType w:val="multilevel"/>
    <w:tmpl w:val="813671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D9D79F8"/>
    <w:multiLevelType w:val="multilevel"/>
    <w:tmpl w:val="C4522E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F1834E9"/>
    <w:multiLevelType w:val="multilevel"/>
    <w:tmpl w:val="3E04B46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FC773A5"/>
    <w:multiLevelType w:val="multilevel"/>
    <w:tmpl w:val="A9C0B9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11DF4CC6"/>
    <w:multiLevelType w:val="multilevel"/>
    <w:tmpl w:val="F69EB5E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2BC5EE6"/>
    <w:multiLevelType w:val="multilevel"/>
    <w:tmpl w:val="C7D24E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198A0AB6"/>
    <w:multiLevelType w:val="multilevel"/>
    <w:tmpl w:val="12161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A30FF7"/>
    <w:multiLevelType w:val="multilevel"/>
    <w:tmpl w:val="6952CBC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1F30323D"/>
    <w:multiLevelType w:val="multilevel"/>
    <w:tmpl w:val="30C8C7D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1FD72700"/>
    <w:multiLevelType w:val="multilevel"/>
    <w:tmpl w:val="C0423F8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51427EA"/>
    <w:multiLevelType w:val="multilevel"/>
    <w:tmpl w:val="DD92C2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7A6495A"/>
    <w:multiLevelType w:val="multilevel"/>
    <w:tmpl w:val="A61C1E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27D253FB"/>
    <w:multiLevelType w:val="multilevel"/>
    <w:tmpl w:val="18888E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29EF69CD"/>
    <w:multiLevelType w:val="multilevel"/>
    <w:tmpl w:val="5DB455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AD60F3D"/>
    <w:multiLevelType w:val="multilevel"/>
    <w:tmpl w:val="903CB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2AFD5A2F"/>
    <w:multiLevelType w:val="multilevel"/>
    <w:tmpl w:val="2BE0B9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B0E641C"/>
    <w:multiLevelType w:val="multilevel"/>
    <w:tmpl w:val="860E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2E6353B9"/>
    <w:multiLevelType w:val="multilevel"/>
    <w:tmpl w:val="3578CD3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2E9D03C6"/>
    <w:multiLevelType w:val="multilevel"/>
    <w:tmpl w:val="D3EC9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2FAF0246"/>
    <w:multiLevelType w:val="multilevel"/>
    <w:tmpl w:val="AFAAACE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787284"/>
    <w:multiLevelType w:val="multilevel"/>
    <w:tmpl w:val="184C8D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375C7F93"/>
    <w:multiLevelType w:val="multilevel"/>
    <w:tmpl w:val="7C7638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B475814"/>
    <w:multiLevelType w:val="multilevel"/>
    <w:tmpl w:val="668205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3C264089"/>
    <w:multiLevelType w:val="multilevel"/>
    <w:tmpl w:val="FC3047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C530073"/>
    <w:multiLevelType w:val="multilevel"/>
    <w:tmpl w:val="EE2E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E0C1894"/>
    <w:multiLevelType w:val="multilevel"/>
    <w:tmpl w:val="460465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1FA59DC"/>
    <w:multiLevelType w:val="multilevel"/>
    <w:tmpl w:val="0C4E4FF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24A43ED"/>
    <w:multiLevelType w:val="multilevel"/>
    <w:tmpl w:val="385C97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424F12F4"/>
    <w:multiLevelType w:val="multilevel"/>
    <w:tmpl w:val="B3264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4277084D"/>
    <w:multiLevelType w:val="multilevel"/>
    <w:tmpl w:val="59AE0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42C96D84"/>
    <w:multiLevelType w:val="multilevel"/>
    <w:tmpl w:val="4D7E6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4744347E"/>
    <w:multiLevelType w:val="multilevel"/>
    <w:tmpl w:val="E34ECED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6" w15:restartNumberingAfterBreak="0">
    <w:nsid w:val="47BF2E63"/>
    <w:multiLevelType w:val="multilevel"/>
    <w:tmpl w:val="8E0847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7F131CF"/>
    <w:multiLevelType w:val="multilevel"/>
    <w:tmpl w:val="FAECC2A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8DF52B5"/>
    <w:multiLevelType w:val="multilevel"/>
    <w:tmpl w:val="4F328C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4F082177"/>
    <w:multiLevelType w:val="multilevel"/>
    <w:tmpl w:val="023610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23C0031"/>
    <w:multiLevelType w:val="multilevel"/>
    <w:tmpl w:val="31889C8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52647F75"/>
    <w:multiLevelType w:val="multilevel"/>
    <w:tmpl w:val="FAA420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53645A47"/>
    <w:multiLevelType w:val="multilevel"/>
    <w:tmpl w:val="25BAB8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53692C90"/>
    <w:multiLevelType w:val="multilevel"/>
    <w:tmpl w:val="720A6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5184E4F"/>
    <w:multiLevelType w:val="multilevel"/>
    <w:tmpl w:val="CC68447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5" w15:restartNumberingAfterBreak="0">
    <w:nsid w:val="56AE2C1C"/>
    <w:multiLevelType w:val="multilevel"/>
    <w:tmpl w:val="E67825A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5D6A6964"/>
    <w:multiLevelType w:val="multilevel"/>
    <w:tmpl w:val="D83E633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47" w15:restartNumberingAfterBreak="0">
    <w:nsid w:val="627B5B6B"/>
    <w:multiLevelType w:val="multilevel"/>
    <w:tmpl w:val="BBFEB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8" w15:restartNumberingAfterBreak="0">
    <w:nsid w:val="636E2EC2"/>
    <w:multiLevelType w:val="multilevel"/>
    <w:tmpl w:val="0A72F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9" w15:restartNumberingAfterBreak="0">
    <w:nsid w:val="64C51778"/>
    <w:multiLevelType w:val="multilevel"/>
    <w:tmpl w:val="199E1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0" w15:restartNumberingAfterBreak="0">
    <w:nsid w:val="65B516F2"/>
    <w:multiLevelType w:val="multilevel"/>
    <w:tmpl w:val="E16EDE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6A021461"/>
    <w:multiLevelType w:val="multilevel"/>
    <w:tmpl w:val="28BAA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2" w15:restartNumberingAfterBreak="0">
    <w:nsid w:val="6B7374FF"/>
    <w:multiLevelType w:val="multilevel"/>
    <w:tmpl w:val="4BD499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C0D73B1"/>
    <w:multiLevelType w:val="multilevel"/>
    <w:tmpl w:val="3BC8C7D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4" w15:restartNumberingAfterBreak="0">
    <w:nsid w:val="6EE64718"/>
    <w:multiLevelType w:val="multilevel"/>
    <w:tmpl w:val="5F54A9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5" w15:restartNumberingAfterBreak="0">
    <w:nsid w:val="6FAD16C4"/>
    <w:multiLevelType w:val="multilevel"/>
    <w:tmpl w:val="347A7DA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6" w15:restartNumberingAfterBreak="0">
    <w:nsid w:val="714821FF"/>
    <w:multiLevelType w:val="multilevel"/>
    <w:tmpl w:val="C7E65E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 w15:restartNumberingAfterBreak="0">
    <w:nsid w:val="7395600B"/>
    <w:multiLevelType w:val="multilevel"/>
    <w:tmpl w:val="9908610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8" w15:restartNumberingAfterBreak="0">
    <w:nsid w:val="7423259F"/>
    <w:multiLevelType w:val="multilevel"/>
    <w:tmpl w:val="FE58155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9" w15:restartNumberingAfterBreak="0">
    <w:nsid w:val="769B70A0"/>
    <w:multiLevelType w:val="multilevel"/>
    <w:tmpl w:val="D0A61B1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0" w15:restartNumberingAfterBreak="0">
    <w:nsid w:val="7731735D"/>
    <w:multiLevelType w:val="multilevel"/>
    <w:tmpl w:val="0C94CCA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1" w15:restartNumberingAfterBreak="0">
    <w:nsid w:val="77C47645"/>
    <w:multiLevelType w:val="multilevel"/>
    <w:tmpl w:val="0666D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2" w15:restartNumberingAfterBreak="0">
    <w:nsid w:val="7BD26A0B"/>
    <w:multiLevelType w:val="multilevel"/>
    <w:tmpl w:val="C81A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3" w15:restartNumberingAfterBreak="0">
    <w:nsid w:val="7CCD2221"/>
    <w:multiLevelType w:val="multilevel"/>
    <w:tmpl w:val="09F8DA7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9529842">
    <w:abstractNumId w:val="25"/>
  </w:num>
  <w:num w:numId="2" w16cid:durableId="109130445">
    <w:abstractNumId w:val="63"/>
  </w:num>
  <w:num w:numId="3" w16cid:durableId="1830637581">
    <w:abstractNumId w:val="40"/>
  </w:num>
  <w:num w:numId="4" w16cid:durableId="797841215">
    <w:abstractNumId w:val="46"/>
  </w:num>
  <w:num w:numId="5" w16cid:durableId="611011383">
    <w:abstractNumId w:val="19"/>
  </w:num>
  <w:num w:numId="6" w16cid:durableId="617445661">
    <w:abstractNumId w:val="39"/>
  </w:num>
  <w:num w:numId="7" w16cid:durableId="446777070">
    <w:abstractNumId w:val="8"/>
  </w:num>
  <w:num w:numId="8" w16cid:durableId="770319190">
    <w:abstractNumId w:val="23"/>
  </w:num>
  <w:num w:numId="9" w16cid:durableId="877084513">
    <w:abstractNumId w:val="57"/>
  </w:num>
  <w:num w:numId="10" w16cid:durableId="1603223477">
    <w:abstractNumId w:val="37"/>
  </w:num>
  <w:num w:numId="11" w16cid:durableId="1843544872">
    <w:abstractNumId w:val="27"/>
  </w:num>
  <w:num w:numId="12" w16cid:durableId="930351809">
    <w:abstractNumId w:val="36"/>
  </w:num>
  <w:num w:numId="13" w16cid:durableId="957948590">
    <w:abstractNumId w:val="17"/>
  </w:num>
  <w:num w:numId="14" w16cid:durableId="1796023654">
    <w:abstractNumId w:val="52"/>
  </w:num>
  <w:num w:numId="15" w16cid:durableId="1711494179">
    <w:abstractNumId w:val="60"/>
  </w:num>
  <w:num w:numId="16" w16cid:durableId="651568881">
    <w:abstractNumId w:val="58"/>
  </w:num>
  <w:num w:numId="17" w16cid:durableId="989477479">
    <w:abstractNumId w:val="2"/>
  </w:num>
  <w:num w:numId="18" w16cid:durableId="1656838352">
    <w:abstractNumId w:val="43"/>
  </w:num>
  <w:num w:numId="19" w16cid:durableId="589312318">
    <w:abstractNumId w:val="28"/>
  </w:num>
  <w:num w:numId="20" w16cid:durableId="260988947">
    <w:abstractNumId w:val="21"/>
  </w:num>
  <w:num w:numId="21" w16cid:durableId="445587150">
    <w:abstractNumId w:val="44"/>
  </w:num>
  <w:num w:numId="22" w16cid:durableId="512765564">
    <w:abstractNumId w:val="45"/>
  </w:num>
  <w:num w:numId="23" w16cid:durableId="1120294224">
    <w:abstractNumId w:val="35"/>
  </w:num>
  <w:num w:numId="24" w16cid:durableId="341585602">
    <w:abstractNumId w:val="55"/>
  </w:num>
  <w:num w:numId="25" w16cid:durableId="1547525153">
    <w:abstractNumId w:val="48"/>
  </w:num>
  <w:num w:numId="26" w16cid:durableId="45448407">
    <w:abstractNumId w:val="7"/>
  </w:num>
  <w:num w:numId="27" w16cid:durableId="2081783113">
    <w:abstractNumId w:val="12"/>
  </w:num>
  <w:num w:numId="28" w16cid:durableId="837305208">
    <w:abstractNumId w:val="59"/>
  </w:num>
  <w:num w:numId="29" w16cid:durableId="734544241">
    <w:abstractNumId w:val="54"/>
  </w:num>
  <w:num w:numId="30" w16cid:durableId="1593688">
    <w:abstractNumId w:val="6"/>
  </w:num>
  <w:num w:numId="31" w16cid:durableId="1146046270">
    <w:abstractNumId w:val="13"/>
  </w:num>
  <w:num w:numId="32" w16cid:durableId="723724378">
    <w:abstractNumId w:val="4"/>
  </w:num>
  <w:num w:numId="33" w16cid:durableId="989019542">
    <w:abstractNumId w:val="9"/>
  </w:num>
  <w:num w:numId="34" w16cid:durableId="1605729848">
    <w:abstractNumId w:val="11"/>
  </w:num>
  <w:num w:numId="35" w16cid:durableId="1692218101">
    <w:abstractNumId w:val="34"/>
  </w:num>
  <w:num w:numId="36" w16cid:durableId="1474981693">
    <w:abstractNumId w:val="47"/>
  </w:num>
  <w:num w:numId="37" w16cid:durableId="665130586">
    <w:abstractNumId w:val="26"/>
  </w:num>
  <w:num w:numId="38" w16cid:durableId="469713833">
    <w:abstractNumId w:val="42"/>
  </w:num>
  <w:num w:numId="39" w16cid:durableId="297148750">
    <w:abstractNumId w:val="32"/>
  </w:num>
  <w:num w:numId="40" w16cid:durableId="2141069765">
    <w:abstractNumId w:val="16"/>
  </w:num>
  <w:num w:numId="41" w16cid:durableId="493111225">
    <w:abstractNumId w:val="15"/>
  </w:num>
  <w:num w:numId="42" w16cid:durableId="1138835140">
    <w:abstractNumId w:val="5"/>
  </w:num>
  <w:num w:numId="43" w16cid:durableId="886456939">
    <w:abstractNumId w:val="56"/>
  </w:num>
  <w:num w:numId="44" w16cid:durableId="1431661257">
    <w:abstractNumId w:val="62"/>
  </w:num>
  <w:num w:numId="45" w16cid:durableId="1798139641">
    <w:abstractNumId w:val="38"/>
  </w:num>
  <w:num w:numId="46" w16cid:durableId="1726442206">
    <w:abstractNumId w:val="1"/>
  </w:num>
  <w:num w:numId="47" w16cid:durableId="1876000323">
    <w:abstractNumId w:val="0"/>
  </w:num>
  <w:num w:numId="48" w16cid:durableId="397751786">
    <w:abstractNumId w:val="41"/>
  </w:num>
  <w:num w:numId="49" w16cid:durableId="1930960242">
    <w:abstractNumId w:val="33"/>
  </w:num>
  <w:num w:numId="50" w16cid:durableId="1586067351">
    <w:abstractNumId w:val="50"/>
  </w:num>
  <w:num w:numId="51" w16cid:durableId="488712259">
    <w:abstractNumId w:val="31"/>
  </w:num>
  <w:num w:numId="52" w16cid:durableId="402458188">
    <w:abstractNumId w:val="61"/>
  </w:num>
  <w:num w:numId="53" w16cid:durableId="1686395315">
    <w:abstractNumId w:val="18"/>
  </w:num>
  <w:num w:numId="54" w16cid:durableId="1961180649">
    <w:abstractNumId w:val="49"/>
  </w:num>
  <w:num w:numId="55" w16cid:durableId="1915160558">
    <w:abstractNumId w:val="22"/>
  </w:num>
  <w:num w:numId="56" w16cid:durableId="1746566456">
    <w:abstractNumId w:val="20"/>
  </w:num>
  <w:num w:numId="57" w16cid:durableId="1148402382">
    <w:abstractNumId w:val="24"/>
  </w:num>
  <w:num w:numId="58" w16cid:durableId="1800151507">
    <w:abstractNumId w:val="51"/>
  </w:num>
  <w:num w:numId="59" w16cid:durableId="337732408">
    <w:abstractNumId w:val="30"/>
  </w:num>
  <w:num w:numId="60" w16cid:durableId="838813960">
    <w:abstractNumId w:val="14"/>
  </w:num>
  <w:num w:numId="61" w16cid:durableId="1059019612">
    <w:abstractNumId w:val="29"/>
  </w:num>
  <w:num w:numId="62" w16cid:durableId="2020811034">
    <w:abstractNumId w:val="53"/>
  </w:num>
  <w:num w:numId="63" w16cid:durableId="1598172611">
    <w:abstractNumId w:val="10"/>
  </w:num>
  <w:num w:numId="64" w16cid:durableId="1518470379">
    <w:abstractNumId w:val="60"/>
    <w:lvlOverride w:ilvl="0">
      <w:startOverride w:val="1"/>
    </w:lvlOverride>
  </w:num>
  <w:num w:numId="65" w16cid:durableId="93743602">
    <w:abstractNumId w:val="60"/>
  </w:num>
  <w:num w:numId="66" w16cid:durableId="1447969598">
    <w:abstractNumId w:val="17"/>
  </w:num>
  <w:num w:numId="67" w16cid:durableId="413161038">
    <w:abstractNumId w:val="17"/>
  </w:num>
  <w:num w:numId="68" w16cid:durableId="1327830596">
    <w:abstractNumId w:val="17"/>
  </w:num>
  <w:num w:numId="69" w16cid:durableId="752824696">
    <w:abstractNumId w:val="21"/>
    <w:lvlOverride w:ilvl="0">
      <w:startOverride w:val="1"/>
    </w:lvlOverride>
  </w:num>
  <w:num w:numId="70" w16cid:durableId="912012963">
    <w:abstractNumId w:val="21"/>
  </w:num>
  <w:num w:numId="71" w16cid:durableId="662004160">
    <w:abstractNumId w:val="21"/>
  </w:num>
  <w:num w:numId="72" w16cid:durableId="1703087209">
    <w:abstractNumId w:val="21"/>
  </w:num>
  <w:num w:numId="73" w16cid:durableId="1095977955">
    <w:abstractNumId w:val="21"/>
  </w:num>
  <w:num w:numId="74" w16cid:durableId="48767378">
    <w:abstractNumId w:val="21"/>
  </w:num>
  <w:num w:numId="75" w16cid:durableId="1533882624">
    <w:abstractNumId w:val="21"/>
  </w:num>
  <w:num w:numId="76" w16cid:durableId="208104033">
    <w:abstractNumId w:val="21"/>
  </w:num>
  <w:num w:numId="77" w16cid:durableId="556162472">
    <w:abstractNumId w:val="21"/>
  </w:num>
  <w:num w:numId="78" w16cid:durableId="395588648">
    <w:abstractNumId w:val="21"/>
  </w:num>
  <w:num w:numId="79" w16cid:durableId="1017577552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0" w16cid:durableId="1548294224">
    <w:abstractNumId w:val="21"/>
  </w:num>
  <w:num w:numId="81" w16cid:durableId="390929788">
    <w:abstractNumId w:val="21"/>
  </w:num>
  <w:num w:numId="82" w16cid:durableId="1268191718">
    <w:abstractNumId w:val="21"/>
  </w:num>
  <w:num w:numId="83" w16cid:durableId="1908345517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4" w16cid:durableId="602230338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5" w16cid:durableId="2117407449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6" w16cid:durableId="1766463452">
    <w:abstractNumId w:val="21"/>
  </w:num>
  <w:num w:numId="87" w16cid:durableId="1058894929">
    <w:abstractNumId w:val="34"/>
    <w:lvlOverride w:ilvl="0">
      <w:startOverride w:val="1"/>
    </w:lvlOverride>
  </w:num>
  <w:num w:numId="88" w16cid:durableId="1136752463">
    <w:abstractNumId w:val="47"/>
    <w:lvlOverride w:ilvl="0">
      <w:startOverride w:val="1"/>
    </w:lvlOverride>
  </w:num>
  <w:num w:numId="89" w16cid:durableId="1146313586">
    <w:abstractNumId w:val="47"/>
  </w:num>
  <w:num w:numId="90" w16cid:durableId="1721980962">
    <w:abstractNumId w:val="47"/>
  </w:num>
  <w:num w:numId="91" w16cid:durableId="491335523">
    <w:abstractNumId w:val="34"/>
  </w:num>
  <w:num w:numId="92" w16cid:durableId="115635752">
    <w:abstractNumId w:val="34"/>
  </w:num>
  <w:num w:numId="93" w16cid:durableId="311569395">
    <w:abstractNumId w:val="34"/>
  </w:num>
  <w:num w:numId="94" w16cid:durableId="1281380280">
    <w:abstractNumId w:val="34"/>
  </w:num>
  <w:num w:numId="95" w16cid:durableId="1886257940">
    <w:abstractNumId w:val="56"/>
    <w:lvlOverride w:ilvl="0">
      <w:startOverride w:val="1"/>
    </w:lvlOverride>
  </w:num>
  <w:num w:numId="96" w16cid:durableId="83843460">
    <w:abstractNumId w:val="56"/>
  </w:num>
  <w:num w:numId="97" w16cid:durableId="1973510982">
    <w:abstractNumId w:val="56"/>
  </w:num>
  <w:num w:numId="98" w16cid:durableId="426728926">
    <w:abstractNumId w:val="56"/>
  </w:num>
  <w:num w:numId="99" w16cid:durableId="989363269">
    <w:abstractNumId w:val="0"/>
    <w:lvlOverride w:ilvl="0">
      <w:startOverride w:val="1"/>
    </w:lvlOverride>
  </w:num>
  <w:num w:numId="100" w16cid:durableId="877738497">
    <w:abstractNumId w:val="0"/>
  </w:num>
  <w:num w:numId="101" w16cid:durableId="1694918014">
    <w:abstractNumId w:val="0"/>
  </w:num>
  <w:num w:numId="102" w16cid:durableId="1687900499">
    <w:abstractNumId w:val="0"/>
  </w:num>
  <w:num w:numId="103" w16cid:durableId="606619193">
    <w:abstractNumId w:val="0"/>
  </w:num>
  <w:num w:numId="104" w16cid:durableId="796338323">
    <w:abstractNumId w:val="0"/>
  </w:num>
  <w:num w:numId="105" w16cid:durableId="2123380757">
    <w:abstractNumId w:val="18"/>
    <w:lvlOverride w:ilvl="0">
      <w:startOverride w:val="1"/>
    </w:lvlOverride>
  </w:num>
  <w:num w:numId="106" w16cid:durableId="674960022">
    <w:abstractNumId w:val="18"/>
  </w:num>
  <w:num w:numId="107" w16cid:durableId="267736867">
    <w:abstractNumId w:val="18"/>
  </w:num>
  <w:num w:numId="108" w16cid:durableId="1269384507">
    <w:abstractNumId w:val="18"/>
  </w:num>
  <w:num w:numId="109" w16cid:durableId="1606502154">
    <w:abstractNumId w:val="18"/>
  </w:num>
  <w:num w:numId="110" w16cid:durableId="910235387">
    <w:abstractNumId w:val="18"/>
  </w:num>
  <w:num w:numId="111" w16cid:durableId="274989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EE8"/>
    <w:rsid w:val="000237B3"/>
    <w:rsid w:val="00036D92"/>
    <w:rsid w:val="00066186"/>
    <w:rsid w:val="000D6178"/>
    <w:rsid w:val="001E648B"/>
    <w:rsid w:val="002703C9"/>
    <w:rsid w:val="00425611"/>
    <w:rsid w:val="00533EE8"/>
    <w:rsid w:val="007C72F4"/>
    <w:rsid w:val="008275B1"/>
    <w:rsid w:val="00BF3CAD"/>
    <w:rsid w:val="00ED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FD39"/>
  <w15:docId w15:val="{D090404E-96A8-47AF-BB55-E4451E7D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Hipercze2">
    <w:name w:val="Hiperłącze2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styleId="Nagwek">
    <w:name w:val="header"/>
    <w:basedOn w:val="Standard"/>
    <w:next w:val="Tekstpodstawowy"/>
    <w:link w:val="NagwekZnak"/>
    <w:uiPriority w:val="99"/>
    <w:rsid w:val="007B1CE8"/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Pr>
      <w:b/>
      <w:bCs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3229E"/>
    <w:rPr>
      <w:b/>
      <w:bCs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495F34"/>
    <w:pPr>
      <w:widowControl/>
      <w:suppressAutoHyphens w:val="0"/>
      <w:spacing w:beforeAutospacing="1" w:afterAutospacing="1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15</Pages>
  <Words>3223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Paulina Matczak</cp:lastModifiedBy>
  <cp:revision>30</cp:revision>
  <cp:lastPrinted>2023-07-07T08:52:00Z</cp:lastPrinted>
  <dcterms:created xsi:type="dcterms:W3CDTF">2025-09-17T08:02:00Z</dcterms:created>
  <dcterms:modified xsi:type="dcterms:W3CDTF">2026-01-22T09:57:00Z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